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240"/>
        <w:jc w:val="center"/>
      </w:pPr>
      <w:r>
        <w:rPr>
          <w:rFonts w:ascii="Arial" w:cs="Arial" w:eastAsia="Arial" w:hAnsi="Arial"/>
          <w:b/>
          <w:bCs/>
          <w:color w:val="1A5276"/>
          <w:sz w:val="48"/>
          <w:szCs w:val="48"/>
        </w:rPr>
        <w:t xml:space="preserve">THE SKILLET</w:t>
      </w:r>
    </w:p>
    <w:p>
      <w:pPr>
        <w:spacing w:after="60" w:before="0"/>
        <w:jc w:val="center"/>
      </w:pPr>
      <w:r>
        <w:rPr>
          <w:rFonts w:ascii="Arial" w:cs="Arial" w:eastAsia="Arial" w:hAnsi="Arial"/>
          <w:color w:val="2E4057"/>
          <w:sz w:val="26"/>
          <w:szCs w:val="26"/>
        </w:rPr>
        <w:t xml:space="preserve">33-Acre Heirs’ Property — Dillon County, South Carolina</w:t>
      </w:r>
    </w:p>
    <w:p>
      <w:pPr>
        <w:spacing w:after="60" w:before="0"/>
        <w:jc w:val="center"/>
      </w:pPr>
      <w:r>
        <w:rPr>
          <w:rFonts w:ascii="Arial" w:cs="Arial" w:eastAsia="Arial" w:hAnsi="Arial"/>
          <w:i/>
          <w:iCs/>
          <w:color w:val="555555"/>
          <w:sz w:val="24"/>
          <w:szCs w:val="24"/>
        </w:rPr>
        <w:t xml:space="preserve">Located Directly Across from Inland Port Dillon</w:t>
      </w:r>
    </w:p>
    <w:p>
      <w:pPr>
        <w:spacing w:after="240" w:before="0"/>
        <w:jc w:val="center"/>
      </w:pPr>
      <w:r>
        <w:rPr>
          <w:rFonts w:ascii="Arial" w:cs="Arial" w:eastAsia="Arial" w:hAnsi="Arial"/>
          <w:color w:val="888888"/>
          <w:sz w:val="22"/>
          <w:szCs w:val="22"/>
        </w:rPr>
        <w:t xml:space="preserve">Family Defense &amp; Action Brief — May 2026</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Why This Is Urgent</w:t>
      </w:r>
    </w:p>
    <w:p>
      <w:pPr>
        <w:spacing w:after="80" w:before="80"/>
      </w:pPr>
      <w:r>
        <w:rPr>
          <w:rFonts w:ascii="Arial" w:cs="Arial" w:eastAsia="Arial" w:hAnsi="Arial"/>
          <w:sz w:val="22"/>
          <w:szCs w:val="22"/>
        </w:rPr>
        <w:t xml:space="preserve">Inland Port Dillon just posted its busiest year on record. In 2025, the port completed 48,761 rail container moves — a 33% increase from the prior year. SC Ports operations generate a $9.7 billion annual economic impact in the Pee Dee region. Land directly adjacent to that port is no longer just family land. It is in the middle of a regional economic engine, and developers know it.</w:t>
      </w:r>
    </w:p>
    <w:p>
      <w:pPr>
        <w:spacing w:after="0" w:before="80"/>
      </w:pPr>
    </w:p>
    <w:p>
      <w:pPr>
        <w:spacing w:after="80" w:before="80"/>
      </w:pPr>
      <w:r>
        <w:rPr>
          <w:rFonts w:ascii="Arial" w:cs="Arial" w:eastAsia="Arial" w:hAnsi="Arial"/>
          <w:sz w:val="22"/>
          <w:szCs w:val="22"/>
        </w:rPr>
        <w:t xml:space="preserve">The original Santee Cooper development vision called for a $58 million capital investment to handle at least 45,000 containers per year on a 3,400-acre industrial site near I-95. The port has now exceeded those projections. Your 33 acres — the Skillet — sits directly across the road from all of that activity.</w:t>
      </w:r>
    </w:p>
    <w:p>
      <w:pPr>
        <w:spacing w:after="0" w:before="80"/>
      </w:pPr>
    </w:p>
    <w:p>
      <w:pPr>
        <w:spacing w:after="80" w:before="80"/>
      </w:pPr>
      <w:r>
        <w:rPr>
          <w:rFonts w:ascii="Arial" w:cs="Arial" w:eastAsia="Arial" w:hAnsi="Arial"/>
          <w:sz w:val="22"/>
          <w:szCs w:val="22"/>
        </w:rPr>
        <w:t xml:space="preserve">That means the land’s value has risen significantly, but so has the risk of losing it.</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What Is Heirs’ Property?</w:t>
      </w:r>
    </w:p>
    <w:p>
      <w:pPr>
        <w:spacing w:after="80" w:before="80"/>
      </w:pPr>
      <w:r>
        <w:rPr>
          <w:rFonts w:ascii="Arial" w:cs="Arial" w:eastAsia="Arial" w:hAnsi="Arial"/>
          <w:sz w:val="22"/>
          <w:szCs w:val="22"/>
        </w:rPr>
        <w:t xml:space="preserve">Heirs’ property is land that has been passed down through generations of a family — typically without a formal will, deed, or probate process. When a person dies without a will, their land transfers automatically to their heirs under South Carolina’s intestate succession laws. If this happens over multiple generations without ever going through probate or recording a deed, the land becomes heirs’ property.</w:t>
      </w:r>
    </w:p>
    <w:p>
      <w:pPr>
        <w:spacing w:after="0" w:before="80"/>
      </w:pPr>
    </w:p>
    <w:p>
      <w:pPr>
        <w:spacing w:after="80" w:before="80"/>
      </w:pPr>
      <w:r>
        <w:rPr>
          <w:rFonts w:ascii="Arial" w:cs="Arial" w:eastAsia="Arial" w:hAnsi="Arial"/>
          <w:sz w:val="22"/>
          <w:szCs w:val="22"/>
        </w:rPr>
        <w:t xml:space="preserve">The result: multiple family members each own an undivided fractional interest in the same land, all as “tenants in common.” Nobody owns a specific piece of the 33 acres — everyone co-owns all of it, in shares. This legal structure creates serious vulnerabilities.</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The #1 Risk: Forced Partition Sale</w:t>
      </w:r>
    </w:p>
    <w:p>
      <w:pPr>
        <w:spacing w:after="80" w:before="80"/>
      </w:pPr>
      <w:r>
        <w:rPr>
          <w:rFonts w:ascii="Arial" w:cs="Arial" w:eastAsia="Arial" w:hAnsi="Arial"/>
          <w:sz w:val="22"/>
          <w:szCs w:val="22"/>
        </w:rPr>
        <w:t xml:space="preserve">Under South Carolina law, any heir — no matter how small their ownership share — can file a partition lawsuit in court to force the sale of the entire property. Courts may then order the property sold at auction, often for well below market value, with proceeds divided among all heirs proportionally.</w:t>
      </w:r>
    </w:p>
    <w:p>
      <w:pPr>
        <w:spacing w:after="0" w:before="80"/>
      </w:pPr>
    </w:p>
    <w:p>
      <w:pPr>
        <w:spacing w:after="80" w:before="80"/>
      </w:pPr>
      <w:r>
        <w:rPr>
          <w:rFonts w:ascii="Arial" w:cs="Arial" w:eastAsia="Arial" w:hAnsi="Arial"/>
          <w:sz w:val="22"/>
          <w:szCs w:val="22"/>
        </w:rPr>
        <w:t xml:space="preserve">This is a well-documented playbook used by developers to acquire Black family land:</w:t>
      </w:r>
    </w:p>
    <w:p>
      <w:pPr>
        <w:spacing w:after="0" w:before="60"/>
      </w:pPr>
    </w:p>
    <w:p>
      <w:pPr>
        <w:pStyle w:val="ListParagraph"/>
        <w:numPr>
          <w:ilvl w:val="0"/>
          <w:numId w:val="2"/>
        </w:numPr>
        <w:spacing w:after="60" w:before="60"/>
      </w:pPr>
      <w:r>
        <w:rPr>
          <w:rFonts w:ascii="Arial" w:cs="Arial" w:eastAsia="Arial" w:hAnsi="Arial"/>
          <w:sz w:val="22"/>
          <w:szCs w:val="22"/>
        </w:rPr>
        <w:t xml:space="preserve">A developer identifies heirs’ property with value.</w:t>
      </w:r>
    </w:p>
    <w:p>
      <w:pPr>
        <w:pStyle w:val="ListParagraph"/>
        <w:numPr>
          <w:ilvl w:val="0"/>
          <w:numId w:val="2"/>
        </w:numPr>
        <w:spacing w:after="60" w:before="60"/>
      </w:pPr>
      <w:r>
        <w:rPr>
          <w:rFonts w:ascii="Arial" w:cs="Arial" w:eastAsia="Arial" w:hAnsi="Arial"/>
          <w:sz w:val="22"/>
          <w:szCs w:val="22"/>
        </w:rPr>
        <w:t xml:space="preserve">They locate a willing heir — often one who is financially distressed or simply uninformed — and purchase their small fractional share.</w:t>
      </w:r>
    </w:p>
    <w:p>
      <w:pPr>
        <w:pStyle w:val="ListParagraph"/>
        <w:numPr>
          <w:ilvl w:val="0"/>
          <w:numId w:val="2"/>
        </w:numPr>
        <w:spacing w:after="60" w:before="60"/>
      </w:pPr>
      <w:r>
        <w:rPr>
          <w:rFonts w:ascii="Arial" w:cs="Arial" w:eastAsia="Arial" w:hAnsi="Arial"/>
          <w:sz w:val="22"/>
          <w:szCs w:val="22"/>
        </w:rPr>
        <w:t xml:space="preserve">Now as a co-owner, the developer files a partition action in court.</w:t>
      </w:r>
    </w:p>
    <w:p>
      <w:pPr>
        <w:pStyle w:val="ListParagraph"/>
        <w:numPr>
          <w:ilvl w:val="0"/>
          <w:numId w:val="2"/>
        </w:numPr>
        <w:spacing w:after="60" w:before="60"/>
      </w:pPr>
      <w:r>
        <w:rPr>
          <w:rFonts w:ascii="Arial" w:cs="Arial" w:eastAsia="Arial" w:hAnsi="Arial"/>
          <w:sz w:val="22"/>
          <w:szCs w:val="22"/>
        </w:rPr>
        <w:t xml:space="preserve">The court orders the whole property sold at auction.</w:t>
      </w:r>
    </w:p>
    <w:p>
      <w:pPr>
        <w:pStyle w:val="ListParagraph"/>
        <w:numPr>
          <w:ilvl w:val="0"/>
          <w:numId w:val="2"/>
        </w:numPr>
        <w:spacing w:after="60" w:before="60"/>
      </w:pPr>
      <w:r>
        <w:rPr>
          <w:rFonts w:ascii="Arial" w:cs="Arial" w:eastAsia="Arial" w:hAnsi="Arial"/>
          <w:sz w:val="22"/>
          <w:szCs w:val="22"/>
        </w:rPr>
        <w:t xml:space="preserve">The developer wins the auction at below-market value.</w:t>
      </w:r>
    </w:p>
    <w:p>
      <w:pPr>
        <w:pStyle w:val="ListParagraph"/>
        <w:numPr>
          <w:ilvl w:val="0"/>
          <w:numId w:val="2"/>
        </w:numPr>
        <w:spacing w:after="60" w:before="60"/>
      </w:pPr>
      <w:r>
        <w:rPr>
          <w:rFonts w:ascii="Arial" w:cs="Arial" w:eastAsia="Arial" w:hAnsi="Arial"/>
          <w:sz w:val="22"/>
          <w:szCs w:val="22"/>
        </w:rPr>
        <w:t xml:space="preserve">The family loses generational land they held for decades.</w:t>
      </w:r>
    </w:p>
    <w:p>
      <w:pPr>
        <w:spacing w:after="0" w:before="80"/>
      </w:pPr>
    </w:p>
    <w:p>
      <w:pPr>
        <w:spacing w:after="80" w:before="80"/>
      </w:pPr>
      <w:r>
        <w:rPr>
          <w:rFonts w:ascii="Arial" w:cs="Arial" w:eastAsia="Arial" w:hAnsi="Arial"/>
          <w:sz w:val="22"/>
          <w:szCs w:val="22"/>
        </w:rPr>
        <w:t xml:space="preserve">The Skillet is vulnerable to this right now. The time to act is before a developer finds a weak link.</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Protections Already in South Carolina Law</w:t>
      </w:r>
    </w:p>
    <w:p>
      <w:pPr>
        <w:pStyle w:val="Heading2"/>
        <w:spacing w:after="80" w:before="240"/>
      </w:pPr>
      <w:r>
        <w:rPr>
          <w:rFonts w:ascii="Arial" w:cs="Arial" w:eastAsia="Arial" w:hAnsi="Arial"/>
          <w:b/>
          <w:bCs/>
          <w:color w:val="2E4057"/>
          <w:sz w:val="26"/>
          <w:szCs w:val="26"/>
        </w:rPr>
        <w:t xml:space="preserve">1. The Clementa C. Pinckney Uniform Partition of Heirs’ Property Act (Active Since 2017)</w:t>
      </w:r>
    </w:p>
    <w:p>
      <w:pPr>
        <w:spacing w:after="80" w:before="80"/>
      </w:pPr>
      <w:r>
        <w:rPr>
          <w:rFonts w:ascii="Arial" w:cs="Arial" w:eastAsia="Arial" w:hAnsi="Arial"/>
          <w:sz w:val="22"/>
          <w:szCs w:val="22"/>
        </w:rPr>
        <w:t xml:space="preserve">South Carolina enacted this law — named after the pastor and state senator murdered in the 2015 Charleston church shooting — specifically to protect families like yours. It is codified at SC Code 15-61-310 et seq. Key protections include:</w:t>
      </w:r>
    </w:p>
    <w:p>
      <w:pPr>
        <w:spacing w:after="0" w:before="60"/>
      </w:pPr>
    </w:p>
    <w:p>
      <w:pPr>
        <w:pStyle w:val="ListParagraph"/>
        <w:numPr>
          <w:ilvl w:val="0"/>
          <w:numId w:val="2"/>
        </w:numPr>
        <w:spacing w:after="60" w:before="60"/>
      </w:pPr>
      <w:r>
        <w:rPr>
          <w:rFonts w:ascii="Arial" w:cs="Arial" w:eastAsia="Arial" w:hAnsi="Arial"/>
          <w:b/>
          <w:bCs/>
          <w:sz w:val="22"/>
          <w:szCs w:val="22"/>
        </w:rPr>
        <w:t xml:space="preserve"> If a co-owner files for partition, the court must first determine whether the property is heirs’ property. If so, the other heirs have the right to purchase the petitioning heir’s share at fair market value before any outside party can buy in.</w:t>
      </w:r>
      <w:r>
        <w:rPr>
          <w:rFonts w:ascii="Arial" w:cs="Arial" w:eastAsia="Arial" w:hAnsi="Arial"/>
          <w:sz w:val="22"/>
          <w:szCs w:val="22"/>
        </w:rPr>
        <w:t xml:space="preserve">Right of First Refusal:</w:t>
      </w:r>
    </w:p>
    <w:p>
      <w:pPr>
        <w:pStyle w:val="ListParagraph"/>
        <w:numPr>
          <w:ilvl w:val="0"/>
          <w:numId w:val="2"/>
        </w:numPr>
        <w:spacing w:after="60" w:before="60"/>
      </w:pPr>
      <w:r>
        <w:rPr>
          <w:rFonts w:ascii="Arial" w:cs="Arial" w:eastAsia="Arial" w:hAnsi="Arial"/>
          <w:b/>
          <w:bCs/>
          <w:sz w:val="22"/>
          <w:szCs w:val="22"/>
        </w:rPr>
        <w:t xml:space="preserve"> The court must order an independent appraisal before any sale — not a low-ball auction price.</w:t>
      </w:r>
      <w:r>
        <w:rPr>
          <w:rFonts w:ascii="Arial" w:cs="Arial" w:eastAsia="Arial" w:hAnsi="Arial"/>
          <w:sz w:val="22"/>
          <w:szCs w:val="22"/>
        </w:rPr>
        <w:t xml:space="preserve">Fair Market Appraisal Required:</w:t>
      </w:r>
    </w:p>
    <w:p>
      <w:pPr>
        <w:pStyle w:val="ListParagraph"/>
        <w:numPr>
          <w:ilvl w:val="0"/>
          <w:numId w:val="2"/>
        </w:numPr>
        <w:spacing w:after="60" w:before="60"/>
      </w:pPr>
      <w:r>
        <w:rPr>
          <w:rFonts w:ascii="Arial" w:cs="Arial" w:eastAsia="Arial" w:hAnsi="Arial"/>
          <w:b/>
          <w:bCs/>
          <w:sz w:val="22"/>
          <w:szCs w:val="22"/>
        </w:rPr>
        <w:t xml:space="preserve"> A judge can consider family history, generational ties to the land, and intended use — not just dollars — before ordering a sale.</w:t>
      </w:r>
      <w:r>
        <w:rPr>
          <w:rFonts w:ascii="Arial" w:cs="Arial" w:eastAsia="Arial" w:hAnsi="Arial"/>
          <w:sz w:val="22"/>
          <w:szCs w:val="22"/>
        </w:rPr>
        <w:t xml:space="preserve">Non-Economic Factors:</w:t>
      </w:r>
    </w:p>
    <w:p>
      <w:pPr>
        <w:pStyle w:val="ListParagraph"/>
        <w:numPr>
          <w:ilvl w:val="0"/>
          <w:numId w:val="2"/>
        </w:numPr>
        <w:spacing w:after="60" w:before="60"/>
      </w:pPr>
      <w:r>
        <w:rPr>
          <w:rFonts w:ascii="Arial" w:cs="Arial" w:eastAsia="Arial" w:hAnsi="Arial"/>
          <w:b/>
          <w:bCs/>
          <w:sz w:val="22"/>
          <w:szCs w:val="22"/>
        </w:rPr>
        <w:t xml:space="preserve"> Courts must favor physically dividing the land among heirs over forcing a sale whenever that’s feasible.</w:t>
      </w:r>
      <w:r>
        <w:rPr>
          <w:rFonts w:ascii="Arial" w:cs="Arial" w:eastAsia="Arial" w:hAnsi="Arial"/>
          <w:sz w:val="22"/>
          <w:szCs w:val="22"/>
        </w:rPr>
        <w:t xml:space="preserve">Partition in Kind Preferred:</w:t>
      </w:r>
    </w:p>
    <w:p>
      <w:pPr>
        <w:spacing w:after="0" w:before="120"/>
      </w:pPr>
    </w:p>
    <w:p>
      <w:pPr>
        <w:pStyle w:val="Heading2"/>
        <w:spacing w:after="80" w:before="240"/>
      </w:pPr>
      <w:r>
        <w:rPr>
          <w:rFonts w:ascii="Arial" w:cs="Arial" w:eastAsia="Arial" w:hAnsi="Arial"/>
          <w:b/>
          <w:bCs/>
          <w:color w:val="2E4057"/>
          <w:sz w:val="26"/>
          <w:szCs w:val="26"/>
        </w:rPr>
        <w:t xml:space="preserve">2. Right of First Refusal (SC Code 15-61-25)</w:t>
      </w:r>
    </w:p>
    <w:p>
      <w:pPr>
        <w:spacing w:after="80" w:before="80"/>
      </w:pPr>
      <w:r>
        <w:rPr>
          <w:rFonts w:ascii="Arial" w:cs="Arial" w:eastAsia="Arial" w:hAnsi="Arial"/>
          <w:sz w:val="22"/>
          <w:szCs w:val="22"/>
        </w:rPr>
        <w:t xml:space="preserve">Even outside of heirs’ property law, South Carolina Code 15-61-25 gives all tenants in common a right of first refusal. When a partition petition is filed, non-petitioning co-owners must be given the opportunity to purchase the interest at the appraised price before the court proceeds. This right applies whether or not a default has been entered against a co-owner.</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New Legislation Moving Right Now: Bill 4477 / Senate Bill 950</w:t>
      </w:r>
    </w:p>
    <w:p>
      <w:pPr>
        <w:spacing w:after="80" w:before="80"/>
      </w:pPr>
      <w:r>
        <w:rPr>
          <w:rFonts w:ascii="Arial" w:cs="Arial" w:eastAsia="Arial" w:hAnsi="Arial"/>
          <w:sz w:val="22"/>
          <w:szCs w:val="22"/>
        </w:rPr>
        <w:t xml:space="preserve">In 2025-2026, South Carolina legislators introduced the “Heirs’ Property Tax Relief Act” (House Bill 4477 and its Senate companion S.950). As of late April 2026, H.4477 received a favorable committee recommendation with amendment and was placed on the House calendar. This bill is not yet signed into law, but it is actively moving.</w:t>
      </w:r>
    </w:p>
    <w:p>
      <w:pPr>
        <w:spacing w:after="0" w:before="80"/>
      </w:pPr>
    </w:p>
    <w:p>
      <w:pPr>
        <w:spacing w:after="80" w:before="80"/>
      </w:pPr>
      <w:r>
        <w:rPr>
          <w:rFonts w:ascii="Arial" w:cs="Arial" w:eastAsia="Arial" w:hAnsi="Arial"/>
          <w:sz w:val="22"/>
          <w:szCs w:val="22"/>
        </w:rPr>
        <w:t xml:space="preserve">What it does: Under current law, when family members transfer interests in heirs’ property to clear the title among themselves, that transfer can trigger an “Assessable Transfer of Interest” (ATI) — which means the county reassesses the property at full fair market value, causing a massive property tax spike. For land across from a growing industrial port, that spike could be enormous.</w:t>
      </w:r>
    </w:p>
    <w:p>
      <w:pPr>
        <w:spacing w:after="0" w:before="80"/>
      </w:pPr>
    </w:p>
    <w:p>
      <w:pPr>
        <w:spacing w:after="80" w:before="80"/>
      </w:pPr>
      <w:r>
        <w:rPr>
          <w:rFonts w:ascii="Arial" w:cs="Arial" w:eastAsia="Arial" w:hAnsi="Arial"/>
          <w:sz w:val="22"/>
          <w:szCs w:val="22"/>
        </w:rPr>
        <w:t xml:space="preserve">H.4477 fixes this. Once passed, it will:</w:t>
      </w:r>
    </w:p>
    <w:p>
      <w:pPr>
        <w:spacing w:after="0" w:before="60"/>
      </w:pPr>
    </w:p>
    <w:p>
      <w:pPr>
        <w:pStyle w:val="ListParagraph"/>
        <w:numPr>
          <w:ilvl w:val="0"/>
          <w:numId w:val="2"/>
        </w:numPr>
        <w:spacing w:after="60" w:before="60"/>
      </w:pPr>
      <w:r>
        <w:rPr>
          <w:rFonts w:ascii="Arial" w:cs="Arial" w:eastAsia="Arial" w:hAnsi="Arial"/>
          <w:sz w:val="22"/>
          <w:szCs w:val="22"/>
        </w:rPr>
        <w:t xml:space="preserve">Exempt family title-clearing transfers from triggering property tax reassessment.</w:t>
      </w:r>
    </w:p>
    <w:p>
      <w:pPr>
        <w:pStyle w:val="ListParagraph"/>
        <w:numPr>
          <w:ilvl w:val="0"/>
          <w:numId w:val="2"/>
        </w:numPr>
        <w:spacing w:after="60" w:before="60"/>
      </w:pPr>
      <w:r>
        <w:rPr>
          <w:rFonts w:ascii="Arial" w:cs="Arial" w:eastAsia="Arial" w:hAnsi="Arial"/>
          <w:sz w:val="22"/>
          <w:szCs w:val="22"/>
        </w:rPr>
        <w:t xml:space="preserve">Define a “qualified family member” broadly to include spouses, children, grandchildren, siblings, nieces, nephews, aunts, uncles, and cousins.</w:t>
      </w:r>
    </w:p>
    <w:p>
      <w:pPr>
        <w:pStyle w:val="ListParagraph"/>
        <w:numPr>
          <w:ilvl w:val="0"/>
          <w:numId w:val="2"/>
        </w:numPr>
        <w:spacing w:after="60" w:before="60"/>
      </w:pPr>
      <w:r>
        <w:rPr>
          <w:rFonts w:ascii="Arial" w:cs="Arial" w:eastAsia="Arial" w:hAnsi="Arial"/>
          <w:sz w:val="22"/>
          <w:szCs w:val="22"/>
        </w:rPr>
        <w:t xml:space="preserve">Allow voluntary partitions among family members to clear title without losing the tax protection.</w:t>
      </w:r>
    </w:p>
    <w:p>
      <w:pPr>
        <w:pStyle w:val="ListParagraph"/>
        <w:numPr>
          <w:ilvl w:val="0"/>
          <w:numId w:val="2"/>
        </w:numPr>
        <w:spacing w:after="60" w:before="60"/>
      </w:pPr>
      <w:r>
        <w:rPr>
          <w:rFonts w:ascii="Arial" w:cs="Arial" w:eastAsia="Arial" w:hAnsi="Arial"/>
          <w:sz w:val="22"/>
          <w:szCs w:val="22"/>
        </w:rPr>
        <w:t xml:space="preserve">Require heirs to submit affidavits to the county assessor certifying the transfer qualifies.</w:t>
      </w:r>
    </w:p>
    <w:p>
      <w:pPr>
        <w:spacing w:after="0" w:before="80"/>
      </w:pPr>
    </w:p>
    <w:p>
      <w:pPr>
        <w:spacing w:after="80" w:before="80"/>
      </w:pPr>
      <w:r>
        <w:rPr>
          <w:rFonts w:ascii="Arial" w:cs="Arial" w:eastAsia="Arial" w:hAnsi="Arial"/>
          <w:sz w:val="22"/>
          <w:szCs w:val="22"/>
        </w:rPr>
        <w:t xml:space="preserve">Important caveat: Once title is fully cleared under this law, the property is no longer classified as heirs’ property and is no longer eligible for the ATI exclusion. That means once you consolidate, your tax assessments going forward will reflect market value. Plan accordingly.</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Family Action Plan — What to Do Now</w:t>
      </w:r>
    </w:p>
    <w:p>
      <w:pPr>
        <w:spacing w:after="80" w:before="80"/>
      </w:pPr>
      <w:r>
        <w:rPr>
          <w:rFonts w:ascii="Arial" w:cs="Arial" w:eastAsia="Arial" w:hAnsi="Arial"/>
          <w:sz w:val="22"/>
          <w:szCs w:val="22"/>
        </w:rPr>
        <w:t xml:space="preserve">Do not make any transfers, sales, or agreements among heirs until a South Carolina real estate or estate planning attorney has reviewed the full situation. Here is the step-by-step path forward:</w:t>
      </w:r>
    </w:p>
    <w:p>
      <w:pPr>
        <w:spacing w:after="0" w:before="80"/>
      </w:pPr>
    </w:p>
    <w:p>
      <w:pPr>
        <w:pStyle w:val="ListParagraph"/>
        <w:numPr>
          <w:ilvl w:val="0"/>
          <w:numId w:val="3"/>
        </w:numPr>
        <w:spacing w:after="80" w:before="80"/>
      </w:pPr>
      <w:r>
        <w:rPr>
          <w:rFonts w:ascii="Arial" w:cs="Arial" w:eastAsia="Arial" w:hAnsi="Arial"/>
          <w:b/>
          <w:bCs/>
          <w:sz w:val="22"/>
          <w:szCs w:val="22"/>
        </w:rPr>
        <w:t xml:space="preserve"> Hire a South Carolina probate attorney to do a full chain-of-title search in Dillon County records. You need to know every person who legally holds an ownership interest in the Skillet, what percentage they hold, and whether any shares have ever been sold, gifted, or otherwise transferred outside the family. This is the foundation for everything else.</w:t>
      </w:r>
      <w:r>
        <w:rPr>
          <w:rFonts w:ascii="Arial" w:cs="Arial" w:eastAsia="Arial" w:hAnsi="Arial"/>
          <w:sz w:val="22"/>
          <w:szCs w:val="22"/>
        </w:rPr>
        <w:t xml:space="preserve">Title Search &amp; Heir Identification.</w:t>
      </w:r>
    </w:p>
    <w:p>
      <w:pPr>
        <w:pStyle w:val="ListParagraph"/>
        <w:numPr>
          <w:ilvl w:val="0"/>
          <w:numId w:val="3"/>
        </w:numPr>
        <w:spacing w:after="80" w:before="80"/>
      </w:pPr>
      <w:r>
        <w:rPr>
          <w:rFonts w:ascii="Arial" w:cs="Arial" w:eastAsia="Arial" w:hAnsi="Arial"/>
          <w:b/>
          <w:bCs/>
          <w:sz w:val="22"/>
          <w:szCs w:val="22"/>
        </w:rPr>
        <w:t xml:space="preserve"> Before consolidation, the land is at risk. Get all known heirs to sign a co-tenancy agreement or a right of first refusal covenant among yourselves, and record it in Dillon County. This will not fully prevent a partition action, but it creates friction, signals family unity, and gives you a legal basis to respond quickly.</w:t>
      </w:r>
      <w:r>
        <w:rPr>
          <w:rFonts w:ascii="Arial" w:cs="Arial" w:eastAsia="Arial" w:hAnsi="Arial"/>
          <w:sz w:val="22"/>
          <w:szCs w:val="22"/>
        </w:rPr>
        <w:t xml:space="preserve">Freeze the Vulnerability.</w:t>
      </w:r>
    </w:p>
    <w:p>
      <w:pPr>
        <w:pStyle w:val="ListParagraph"/>
        <w:numPr>
          <w:ilvl w:val="0"/>
          <w:numId w:val="3"/>
        </w:numPr>
        <w:spacing w:after="80" w:before="80"/>
      </w:pPr>
      <w:r>
        <w:rPr>
          <w:rFonts w:ascii="Arial" w:cs="Arial" w:eastAsia="Arial" w:hAnsi="Arial"/>
          <w:b/>
          <w:bCs/>
          <w:sz w:val="22"/>
          <w:szCs w:val="22"/>
        </w:rPr>
        <w:t xml:space="preserve"> Once the Heirs’ Property Tax Relief Act is signed into law, move to consolidate title among family members using the ATI exemption. This is the window to clean up the title without triggering a crushing property tax reassessment. Work with an attorney to prepare the required affidavits for the county assessor.</w:t>
      </w:r>
      <w:r>
        <w:rPr>
          <w:rFonts w:ascii="Arial" w:cs="Arial" w:eastAsia="Arial" w:hAnsi="Arial"/>
          <w:sz w:val="22"/>
          <w:szCs w:val="22"/>
        </w:rPr>
        <w:t xml:space="preserve">Consolidate Title Using H.4477.</w:t>
      </w:r>
    </w:p>
    <w:p>
      <w:pPr>
        <w:pStyle w:val="ListParagraph"/>
        <w:numPr>
          <w:ilvl w:val="0"/>
          <w:numId w:val="3"/>
        </w:numPr>
        <w:spacing w:after="80" w:before="80"/>
      </w:pPr>
      <w:r>
        <w:rPr>
          <w:rFonts w:ascii="Arial" w:cs="Arial" w:eastAsia="Arial" w:hAnsi="Arial"/>
          <w:b/>
          <w:bCs/>
          <w:sz w:val="22"/>
          <w:szCs w:val="22"/>
        </w:rPr>
        <w:t xml:space="preserve"> Moving the Skillet into a family LLC or a family land trust eliminates the partition vulnerability entirely. Once the land is held by an entity rather than individuals, no single heir can file a partition action to force a sale. SC Code 12-24-40 already exempts family trust transfers from deed recording fees.</w:t>
      </w:r>
      <w:r>
        <w:rPr>
          <w:rFonts w:ascii="Arial" w:cs="Arial" w:eastAsia="Arial" w:hAnsi="Arial"/>
          <w:sz w:val="22"/>
          <w:szCs w:val="22"/>
        </w:rPr>
        <w:t xml:space="preserve">Place the Property in a Family LLC or Land Trust.</w:t>
      </w:r>
    </w:p>
    <w:p>
      <w:pPr>
        <w:pStyle w:val="ListParagraph"/>
        <w:numPr>
          <w:ilvl w:val="0"/>
          <w:numId w:val="3"/>
        </w:numPr>
        <w:spacing w:after="80" w:before="80"/>
      </w:pPr>
      <w:r>
        <w:rPr>
          <w:rFonts w:ascii="Arial" w:cs="Arial" w:eastAsia="Arial" w:hAnsi="Arial"/>
          <w:b/>
          <w:bCs/>
          <w:sz w:val="22"/>
          <w:szCs w:val="22"/>
        </w:rPr>
        <w:t xml:space="preserve"> You need to know what 33 acres directly adjacent to a $9.7 billion economic engine is actually worth today. That number drives everything — lease negotiations, development partnership terms, buyout pricing for any dissenting heir, and insurance coverage.</w:t>
      </w:r>
      <w:r>
        <w:rPr>
          <w:rFonts w:ascii="Arial" w:cs="Arial" w:eastAsia="Arial" w:hAnsi="Arial"/>
          <w:sz w:val="22"/>
          <w:szCs w:val="22"/>
        </w:rPr>
        <w:t xml:space="preserve">Get a Professional Appraisal.</w:t>
      </w:r>
    </w:p>
    <w:p>
      <w:pPr>
        <w:pStyle w:val="ListParagraph"/>
        <w:numPr>
          <w:ilvl w:val="0"/>
          <w:numId w:val="3"/>
        </w:numPr>
        <w:spacing w:after="80" w:before="80"/>
      </w:pPr>
      <w:r>
        <w:rPr>
          <w:rFonts w:ascii="Arial" w:cs="Arial" w:eastAsia="Arial" w:hAnsi="Arial"/>
          <w:b/>
          <w:bCs/>
          <w:sz w:val="22"/>
          <w:szCs w:val="22"/>
        </w:rPr>
        <w:t xml:space="preserve"> Once the title is clear and the land is protected, the family can explore leasing the land for industrial use, entering a ground lease with a logistics company, or negotiating a development partnership where the family retains ownership. None of these conversations should happen before steps 1-4 are complete.</w:t>
      </w:r>
      <w:r>
        <w:rPr>
          <w:rFonts w:ascii="Arial" w:cs="Arial" w:eastAsia="Arial" w:hAnsi="Arial"/>
          <w:sz w:val="22"/>
          <w:szCs w:val="22"/>
        </w:rPr>
        <w:t xml:space="preserve">Explore Income Options.</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Free Legal Resource: Center for Heirs’ Property</w:t>
      </w:r>
    </w:p>
    <w:p>
      <w:pPr>
        <w:spacing w:after="80" w:before="80"/>
      </w:pPr>
      <w:r>
        <w:rPr>
          <w:rFonts w:ascii="Arial" w:cs="Arial" w:eastAsia="Arial" w:hAnsi="Arial"/>
          <w:sz w:val="22"/>
          <w:szCs w:val="22"/>
        </w:rPr>
        <w:t xml:space="preserve">The Center for Heirs’ Property (heirsproperty.org) is a South Carolina-based nonprofit that provides free legal support and financial education specifically for families in this situation. They have helped families across South Carolina resolve title issues, resist partition actions, and protect generational land for over 20 years. Contact them before spending money on private attorneys — they may be able to handle your situation at no cost.</w:t>
      </w:r>
    </w:p>
    <w:p>
      <w:pPr>
        <w:pBdr>
          <w:bottom w:val="single" w:color="CCCCCC" w:sz="4" w:space="1"/>
        </w:pBdr>
        <w:spacing w:after="160" w:before="160"/>
      </w:pPr>
    </w:p>
    <w:p>
      <w:pPr>
        <w:pStyle w:val="Heading1"/>
        <w:spacing w:after="120" w:before="320"/>
      </w:pPr>
      <w:r>
        <w:rPr>
          <w:rFonts w:ascii="Arial" w:cs="Arial" w:eastAsia="Arial" w:hAnsi="Arial"/>
          <w:b/>
          <w:bCs/>
          <w:color w:val="1A5276"/>
          <w:sz w:val="32"/>
          <w:szCs w:val="32"/>
        </w:rPr>
        <w:t xml:space="preserve">Summary: The Bottom Line</w:t>
      </w:r>
    </w:p>
    <w:p>
      <w:pPr>
        <w:spacing w:after="80" w:before="80"/>
      </w:pPr>
      <w:r>
        <w:rPr>
          <w:rFonts w:ascii="Arial" w:cs="Arial" w:eastAsia="Arial" w:hAnsi="Arial"/>
          <w:sz w:val="22"/>
          <w:szCs w:val="22"/>
        </w:rPr>
        <w:t xml:space="preserve">Terrell’s analysis is correct and the urgency is real. Here is what every family member needs to understand:</w:t>
      </w:r>
    </w:p>
    <w:p>
      <w:pPr>
        <w:spacing w:after="0" w:before="80"/>
      </w:pPr>
    </w:p>
    <w:p>
      <w:pPr>
        <w:pStyle w:val="ListParagraph"/>
        <w:numPr>
          <w:ilvl w:val="0"/>
          <w:numId w:val="2"/>
        </w:numPr>
        <w:spacing w:after="60" w:before="60"/>
      </w:pPr>
      <w:r>
        <w:rPr>
          <w:rFonts w:ascii="Arial" w:cs="Arial" w:eastAsia="Arial" w:hAnsi="Arial"/>
          <w:sz w:val="22"/>
          <w:szCs w:val="22"/>
        </w:rPr>
        <w:t xml:space="preserve">The port growth is real. Inland Port Dillon is booming and the land across from it has significant and growing value.</w:t>
      </w:r>
    </w:p>
    <w:p>
      <w:pPr>
        <w:pStyle w:val="ListParagraph"/>
        <w:numPr>
          <w:ilvl w:val="0"/>
          <w:numId w:val="2"/>
        </w:numPr>
        <w:spacing w:after="60" w:before="60"/>
      </w:pPr>
      <w:r>
        <w:rPr>
          <w:rFonts w:ascii="Arial" w:cs="Arial" w:eastAsia="Arial" w:hAnsi="Arial"/>
          <w:sz w:val="22"/>
          <w:szCs w:val="22"/>
        </w:rPr>
        <w:t xml:space="preserve">The heirs’ property vulnerability is real. Any single heir can trigger a forced sale process. A developer only needs to find one willing person.</w:t>
      </w:r>
    </w:p>
    <w:p>
      <w:pPr>
        <w:pStyle w:val="ListParagraph"/>
        <w:numPr>
          <w:ilvl w:val="0"/>
          <w:numId w:val="2"/>
        </w:numPr>
        <w:spacing w:after="60" w:before="60"/>
      </w:pPr>
      <w:r>
        <w:rPr>
          <w:rFonts w:ascii="Arial" w:cs="Arial" w:eastAsia="Arial" w:hAnsi="Arial"/>
          <w:sz w:val="22"/>
          <w:szCs w:val="22"/>
        </w:rPr>
        <w:t xml:space="preserve">South Carolina’s laws are on your side — but only if you act. The UPHPA gives you strong protections, and H.4477 is about to make title consolidation cheaper than it has ever been.</w:t>
      </w:r>
    </w:p>
    <w:p>
      <w:pPr>
        <w:pStyle w:val="ListParagraph"/>
        <w:numPr>
          <w:ilvl w:val="0"/>
          <w:numId w:val="2"/>
        </w:numPr>
        <w:spacing w:after="60" w:before="60"/>
      </w:pPr>
      <w:r>
        <w:rPr>
          <w:rFonts w:ascii="Arial" w:cs="Arial" w:eastAsia="Arial" w:hAnsi="Arial"/>
          <w:sz w:val="22"/>
          <w:szCs w:val="22"/>
        </w:rPr>
        <w:t xml:space="preserve">The meeting Terrell is calling for is the right move. Every day the title remains fragmented is a day the risk persists.</w:t>
      </w:r>
    </w:p>
    <w:p>
      <w:pPr>
        <w:pStyle w:val="ListParagraph"/>
        <w:numPr>
          <w:ilvl w:val="0"/>
          <w:numId w:val="2"/>
        </w:numPr>
        <w:spacing w:after="60" w:before="60"/>
      </w:pPr>
      <w:r>
        <w:rPr>
          <w:rFonts w:ascii="Arial" w:cs="Arial" w:eastAsia="Arial" w:hAnsi="Arial"/>
          <w:sz w:val="22"/>
          <w:szCs w:val="22"/>
        </w:rPr>
        <w:t xml:space="preserve">Do not make any moves without an attorney. Well-intentioned but uninformed transfers can create new tax liabilities or complicate the title further.</w:t>
      </w:r>
    </w:p>
    <w:p>
      <w:pPr>
        <w:spacing w:after="0" w:before="160"/>
      </w:pPr>
    </w:p>
    <w:p>
      <w:pPr>
        <w:pBdr>
          <w:top w:val="single" w:color="1A5276" w:sz="4" w:space="4"/>
          <w:bottom w:val="single" w:color="1A5276" w:sz="4" w:space="4"/>
        </w:pBdr>
        <w:spacing w:after="80" w:before="160"/>
        <w:jc w:val="center"/>
      </w:pPr>
      <w:r>
        <w:rPr>
          <w:rFonts w:ascii="Arial" w:cs="Arial" w:eastAsia="Arial" w:hAnsi="Arial"/>
          <w:b/>
          <w:bCs/>
          <w:i/>
          <w:iCs/>
          <w:color w:val="1A5276"/>
          <w:sz w:val="26"/>
          <w:szCs w:val="26"/>
        </w:rPr>
        <w:t xml:space="preserve">This land belongs to this family. Keep it that way.</w:t>
      </w:r>
    </w:p>
    <w:p>
      <w:pPr>
        <w:spacing w:after="0" w:before="160"/>
      </w:pPr>
    </w:p>
    <w:p>
      <w:pPr>
        <w:spacing w:after="80" w:before="80"/>
      </w:pPr>
      <w:r>
        <w:rPr>
          <w:rFonts w:ascii="Arial" w:cs="Arial" w:eastAsia="Arial" w:hAnsi="Arial"/>
          <w:i/>
          <w:iCs/>
          <w:color w:val="888888"/>
          <w:sz w:val="18"/>
          <w:szCs w:val="18"/>
        </w:rPr>
        <w:t xml:space="preserve">Prepared May 2026. This document is a summary for family use and discussion purposes only. It is not legal advice. Consult a licensed South Carolina attorney before taking any legal action regarding this property.</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1"/>
      </w:pBdr>
      <w:tabs>
        <w:tab w:val="right" w:pos="9360"/>
      </w:tabs>
      <w:spacing w:after="0" w:before="120"/>
    </w:pPr>
    <w:r>
      <w:rPr>
        <w:rFonts w:ascii="Arial" w:cs="Arial" w:eastAsia="Arial" w:hAnsi="Arial"/>
        <w:color w:val="888888"/>
        <w:sz w:val="18"/>
        <w:szCs w:val="18"/>
      </w:rPr>
      <w:t xml:space="preserve">Prepared May 2026 — For Family Use Only. Not Legal Advice.</w:t>
    </w:r>
    <w:r>
      <w:rPr>
        <w:rFonts w:ascii="Arial" w:cs="Arial" w:eastAsia="Arial" w:hAnsi="Arial"/>
        <w:color w:val="888888"/>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A5276" w:sz="4" w:space="1"/>
      </w:pBdr>
      <w:spacing w:after="120" w:before="0"/>
    </w:pPr>
    <w:r>
      <w:rPr>
        <w:rFonts w:ascii="Arial" w:cs="Arial" w:eastAsia="Arial" w:hAnsi="Arial"/>
        <w:b/>
        <w:bCs/>
        <w:color w:val="1A5276"/>
        <w:sz w:val="20"/>
        <w:szCs w:val="20"/>
      </w:rPr>
      <w:t xml:space="preserve">The Skillet — Heirs’ Property Defense Brief</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20"/>
      <w:outlineLvl w:val="0"/>
    </w:pPr>
    <w:rPr>
      <w:rFonts w:ascii="Arial" w:cs="Arial" w:eastAsia="Arial" w:hAnsi="Arial"/>
      <w:b/>
      <w:bCs/>
      <w:color w:val="1A5276"/>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4057"/>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2026-05-11T03:39:49.043Z</dcterms:created>
  <dcterms:modified xsi:type="dcterms:W3CDTF">2026-05-11T03:39:49.044Z</dcterms:modified>
</cp:coreProperties>
</file>

<file path=docProps/custom.xml><?xml version="1.0" encoding="utf-8"?>
<Properties xmlns="http://schemas.openxmlformats.org/officeDocument/2006/custom-properties" xmlns:vt="http://schemas.openxmlformats.org/officeDocument/2006/docPropsVTypes"/>
</file>